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</w:t>
      </w:r>
      <w:r w:rsidR="00095BC8">
        <w:rPr>
          <w:rFonts w:cs="Times New Roman"/>
          <w:sz w:val="30"/>
          <w:szCs w:val="30"/>
        </w:rPr>
        <w:lastRenderedPageBreak/>
        <w:t xml:space="preserve">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lastRenderedPageBreak/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lastRenderedPageBreak/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 xml:space="preserve">Верховного Суда Республики </w:t>
      </w:r>
      <w:r w:rsidRPr="00B46076">
        <w:rPr>
          <w:b/>
          <w:sz w:val="30"/>
          <w:szCs w:val="30"/>
        </w:rPr>
        <w:lastRenderedPageBreak/>
        <w:t>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</w:t>
      </w:r>
      <w:r w:rsidR="00BB08D5" w:rsidRPr="00E40894">
        <w:rPr>
          <w:b/>
          <w:sz w:val="30"/>
          <w:szCs w:val="30"/>
        </w:rPr>
        <w:lastRenderedPageBreak/>
        <w:t>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lastRenderedPageBreak/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lastRenderedPageBreak/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lastRenderedPageBreak/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>возможность силового ответа на деструктивное кибервоздействие</w:t>
      </w:r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lastRenderedPageBreak/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8F" w:rsidRDefault="00BF308F" w:rsidP="0090513E">
      <w:pPr>
        <w:spacing w:after="0" w:line="240" w:lineRule="auto"/>
      </w:pPr>
      <w:r>
        <w:separator/>
      </w:r>
    </w:p>
  </w:endnote>
  <w:endnote w:type="continuationSeparator" w:id="0">
    <w:p w:rsidR="00BF308F" w:rsidRDefault="00BF308F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8F" w:rsidRDefault="00BF308F" w:rsidP="0090513E">
      <w:pPr>
        <w:spacing w:after="0" w:line="240" w:lineRule="auto"/>
      </w:pPr>
      <w:r>
        <w:separator/>
      </w:r>
    </w:p>
  </w:footnote>
  <w:footnote w:type="continuationSeparator" w:id="0">
    <w:p w:rsidR="00BF308F" w:rsidRDefault="00BF308F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6D9">
          <w:rPr>
            <w:noProof/>
          </w:rPr>
          <w:t>7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36D9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308F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F575-6F41-4785-B52F-8D7BBD4D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Главный специалист</cp:lastModifiedBy>
  <cp:revision>2</cp:revision>
  <cp:lastPrinted>2024-04-01T12:08:00Z</cp:lastPrinted>
  <dcterms:created xsi:type="dcterms:W3CDTF">2024-04-16T06:13:00Z</dcterms:created>
  <dcterms:modified xsi:type="dcterms:W3CDTF">2024-04-16T06:13:00Z</dcterms:modified>
</cp:coreProperties>
</file>