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BE" w:rsidRPr="00643EBE" w:rsidRDefault="00643EBE" w:rsidP="00643EBE">
      <w:pPr>
        <w:pStyle w:val="a5"/>
        <w:spacing w:before="0" w:beforeAutospacing="0" w:after="0" w:afterAutospacing="0"/>
        <w:ind w:right="316"/>
        <w:jc w:val="center"/>
        <w:rPr>
          <w:sz w:val="36"/>
          <w:szCs w:val="36"/>
          <w14:shadow w14:blurRad="50800" w14:dist="38100" w14:dir="2700000" w14:sx="100000" w14:sy="100000" w14:kx="0" w14:ky="0" w14:algn="tl">
            <w14:srgbClr w14:val="000000">
              <w14:alpha w14:val="60000"/>
            </w14:srgbClr>
          </w14:shadow>
        </w:rPr>
      </w:pPr>
      <w:r w:rsidRPr="00643EBE">
        <w:rPr>
          <w:sz w:val="36"/>
          <w:szCs w:val="36"/>
          <w14:shadow w14:blurRad="50800" w14:dist="38100" w14:dir="2700000" w14:sx="100000" w14:sy="100000" w14:kx="0" w14:ky="0" w14:algn="tl">
            <w14:srgbClr w14:val="000000">
              <w14:alpha w14:val="60000"/>
            </w14:srgbClr>
          </w14:shadow>
        </w:rPr>
        <w:t>Начисляем обязательные страховые взносы в бюджет фонда правильно!</w:t>
      </w:r>
    </w:p>
    <w:p w:rsidR="00643EBE" w:rsidRPr="0080613A" w:rsidRDefault="00643EBE" w:rsidP="00643EBE">
      <w:pPr>
        <w:ind w:right="316"/>
        <w:jc w:val="both"/>
        <w:rPr>
          <w:b/>
          <w:sz w:val="22"/>
          <w:szCs w:val="16"/>
        </w:rPr>
      </w:pPr>
    </w:p>
    <w:p w:rsidR="00643EBE" w:rsidRDefault="00643EBE" w:rsidP="00643EBE">
      <w:pPr>
        <w:ind w:right="-1" w:firstLine="708"/>
        <w:jc w:val="both"/>
        <w:rPr>
          <w:sz w:val="30"/>
          <w:szCs w:val="30"/>
        </w:rPr>
      </w:pPr>
      <w:r w:rsidRPr="00815899">
        <w:rPr>
          <w:b/>
          <w:sz w:val="30"/>
          <w:szCs w:val="30"/>
        </w:rPr>
        <w:t>В</w:t>
      </w:r>
      <w:r>
        <w:rPr>
          <w:b/>
          <w:sz w:val="30"/>
          <w:szCs w:val="30"/>
        </w:rPr>
        <w:t>ОПРОС</w:t>
      </w:r>
      <w:r w:rsidRPr="00815899">
        <w:rPr>
          <w:b/>
          <w:sz w:val="30"/>
          <w:szCs w:val="30"/>
        </w:rPr>
        <w:t>:</w:t>
      </w:r>
      <w:r>
        <w:rPr>
          <w:sz w:val="30"/>
          <w:szCs w:val="30"/>
        </w:rPr>
        <w:t xml:space="preserve"> Является ли объектом для начисления взносов в бюджет фонда сумма единовременного пособия молодому специалисту, направленному на работу, переезжающему в другую местность</w:t>
      </w:r>
      <w:r w:rsidR="00661D6F">
        <w:rPr>
          <w:sz w:val="30"/>
          <w:szCs w:val="30"/>
        </w:rPr>
        <w:t>,</w:t>
      </w:r>
      <w:r>
        <w:rPr>
          <w:sz w:val="30"/>
          <w:szCs w:val="30"/>
        </w:rPr>
        <w:t xml:space="preserve"> в размере, установленном законодательством?</w:t>
      </w:r>
    </w:p>
    <w:p w:rsidR="00643EBE" w:rsidRDefault="00643EBE" w:rsidP="00643EBE">
      <w:pPr>
        <w:ind w:right="-569" w:firstLine="708"/>
        <w:jc w:val="both"/>
        <w:rPr>
          <w:noProof/>
          <w:sz w:val="30"/>
          <w:szCs w:val="30"/>
        </w:rPr>
      </w:pPr>
      <w:r>
        <w:rPr>
          <w:b/>
          <w:noProof/>
        </w:rPr>
        <mc:AlternateContent>
          <mc:Choice Requires="wps">
            <w:drawing>
              <wp:anchor distT="0" distB="0" distL="114300" distR="114300" simplePos="0" relativeHeight="251660288" behindDoc="0" locked="0" layoutInCell="1" allowOverlap="1">
                <wp:simplePos x="0" y="0"/>
                <wp:positionH relativeFrom="column">
                  <wp:posOffset>1177925</wp:posOffset>
                </wp:positionH>
                <wp:positionV relativeFrom="paragraph">
                  <wp:posOffset>-2999740</wp:posOffset>
                </wp:positionV>
                <wp:extent cx="5200015" cy="712470"/>
                <wp:effectExtent l="1905" t="0"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EBE" w:rsidRPr="00643EBE" w:rsidRDefault="00643EBE" w:rsidP="00643EBE">
                            <w:pPr>
                              <w:jc w:val="center"/>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pP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Минское</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областное</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управление</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p>
                          <w:p w:rsidR="00643EBE" w:rsidRPr="00643EBE" w:rsidRDefault="00643EBE" w:rsidP="00643EBE">
                            <w:pPr>
                              <w:jc w:val="center"/>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pP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Фонда</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социальной</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защиты</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населения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2.75pt;margin-top:-236.2pt;width:409.4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" filled="f" stroked="f">
                <v:textbox>
                  <w:txbxContent>
                    <w:p w:rsidR="00643EBE" w:rsidRPr="00643EBE" w:rsidRDefault="00643EBE" w:rsidP="00643EBE">
                      <w:pPr>
                        <w:jc w:val="center"/>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pP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Минское</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областное</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управление</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p>
                    <w:p w:rsidR="00643EBE" w:rsidRPr="00643EBE" w:rsidRDefault="00643EBE" w:rsidP="00643EBE">
                      <w:pPr>
                        <w:jc w:val="center"/>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pP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Фонда</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социальной</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защиты</w:t>
                      </w:r>
                      <w:r w:rsidRPr="00643EBE">
                        <w:rPr>
                          <w:rFonts w:ascii="Berlin Sans FB" w:hAnsi="Berlin Sans FB" w:cs="Arial"/>
                          <w:b/>
                          <w:i/>
                          <w:color w:val="006666"/>
                          <w:spacing w:val="28"/>
                          <w:sz w:val="32"/>
                          <w14:shadow w14:blurRad="50800" w14:dist="38100" w14:dir="2700000" w14:sx="100000" w14:sy="100000" w14:kx="0" w14:ky="0" w14:algn="tl">
                            <w14:srgbClr w14:val="000000">
                              <w14:alpha w14:val="60000"/>
                            </w14:srgbClr>
                          </w14:shadow>
                        </w:rPr>
                        <w:t xml:space="preserve"> </w:t>
                      </w:r>
                      <w:r w:rsidRPr="00643EBE">
                        <w:rPr>
                          <w:rFonts w:ascii="Arial" w:hAnsi="Arial" w:cs="Arial"/>
                          <w:b/>
                          <w:i/>
                          <w:color w:val="006666"/>
                          <w:spacing w:val="28"/>
                          <w:sz w:val="32"/>
                          <w14:shadow w14:blurRad="50800" w14:dist="38100" w14:dir="2700000" w14:sx="100000" w14:sy="100000" w14:kx="0" w14:ky="0" w14:algn="tl">
                            <w14:srgbClr w14:val="000000">
                              <w14:alpha w14:val="60000"/>
                            </w14:srgbClr>
                          </w14:shadow>
                        </w:rPr>
                        <w:t>населения</w:t>
                      </w:r>
                    </w:p>
                  </w:txbxContent>
                </v:textbox>
              </v:shape>
            </w:pict>
          </mc:Fallback>
        </mc:AlternateContent>
      </w:r>
      <w:r w:rsidRPr="00B21579">
        <w:rPr>
          <w:b/>
          <w:noProof/>
          <w:sz w:val="30"/>
          <w:szCs w:val="30"/>
        </w:rPr>
        <w:t>ОТВЕТ</w:t>
      </w:r>
      <w:r>
        <w:rPr>
          <w:noProof/>
          <w:sz w:val="30"/>
          <w:szCs w:val="30"/>
        </w:rPr>
        <w:t>.</w:t>
      </w:r>
    </w:p>
    <w:p w:rsidR="00643EBE" w:rsidRDefault="00643EBE" w:rsidP="00643EBE">
      <w:pPr>
        <w:autoSpaceDE w:val="0"/>
        <w:autoSpaceDN w:val="0"/>
        <w:adjustRightInd w:val="0"/>
        <w:ind w:firstLine="709"/>
        <w:jc w:val="both"/>
        <w:rPr>
          <w:sz w:val="30"/>
          <w:szCs w:val="30"/>
        </w:rPr>
      </w:pPr>
      <w:r w:rsidRPr="00E97779">
        <w:rPr>
          <w:sz w:val="30"/>
          <w:szCs w:val="30"/>
        </w:rPr>
        <w:t>Объектом</w:t>
      </w:r>
      <w:r>
        <w:rPr>
          <w:rStyle w:val="a6"/>
          <w:sz w:val="30"/>
          <w:szCs w:val="30"/>
        </w:rPr>
        <w:footnoteReference w:id="1"/>
      </w:r>
      <w:r w:rsidRPr="00E97779">
        <w:rPr>
          <w:sz w:val="30"/>
          <w:szCs w:val="30"/>
        </w:rPr>
        <w:t xml:space="preserve"> для начисления обязательных страховых взносов (далее - взносы) в бюджет государственного внебюджетного фонда социальной защиты населения Республики Беларусь (далее - бюджет фонда) для работодателей и работающих граждан являются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перечнем выплат, на которые не начисляются взносы в бюджет фонда</w:t>
      </w:r>
      <w:r w:rsidRPr="00E97779">
        <w:rPr>
          <w:rStyle w:val="a6"/>
          <w:sz w:val="30"/>
          <w:szCs w:val="30"/>
        </w:rPr>
        <w:footnoteReference w:id="2"/>
      </w:r>
      <w:r w:rsidRPr="00E97779">
        <w:rPr>
          <w:sz w:val="30"/>
          <w:szCs w:val="30"/>
        </w:rPr>
        <w:t>, но не выше пятикратной величины средней заработной платы работников в республике за месяц, предшествующий месяцу, за который уплачиваются взносы</w:t>
      </w:r>
      <w:r>
        <w:rPr>
          <w:sz w:val="30"/>
          <w:szCs w:val="30"/>
        </w:rPr>
        <w:t>, если иное не установлено Президентом Республики Беларусь.</w:t>
      </w:r>
    </w:p>
    <w:p w:rsidR="00643EBE" w:rsidRDefault="00643EBE" w:rsidP="00643EBE">
      <w:pPr>
        <w:autoSpaceDE w:val="0"/>
        <w:autoSpaceDN w:val="0"/>
        <w:adjustRightInd w:val="0"/>
        <w:ind w:firstLine="709"/>
        <w:jc w:val="both"/>
        <w:rPr>
          <w:sz w:val="30"/>
          <w:szCs w:val="30"/>
        </w:rPr>
      </w:pPr>
      <w:r>
        <w:rPr>
          <w:sz w:val="30"/>
          <w:szCs w:val="30"/>
        </w:rPr>
        <w:t>В</w:t>
      </w:r>
      <w:r w:rsidRPr="00217004">
        <w:rPr>
          <w:sz w:val="30"/>
          <w:szCs w:val="30"/>
        </w:rPr>
        <w:t>зносы в бюджет фонда не начисляются на</w:t>
      </w:r>
      <w:r>
        <w:rPr>
          <w:sz w:val="30"/>
          <w:szCs w:val="30"/>
        </w:rPr>
        <w:t xml:space="preserve"> компенсации в целях возмещения работникам затрат, связанных с выполнением ими трудовых обязанностей, предусмотренные в главе 9 Трудового кодекса Республики Беларусь</w:t>
      </w:r>
      <w:r>
        <w:rPr>
          <w:rStyle w:val="a6"/>
          <w:sz w:val="30"/>
          <w:szCs w:val="30"/>
        </w:rPr>
        <w:footnoteReference w:id="3"/>
      </w:r>
      <w:r>
        <w:rPr>
          <w:sz w:val="30"/>
          <w:szCs w:val="30"/>
        </w:rPr>
        <w:t xml:space="preserve">. </w:t>
      </w:r>
    </w:p>
    <w:p w:rsidR="00643EBE" w:rsidRPr="00CC2CD3" w:rsidRDefault="00643EBE" w:rsidP="00643EBE">
      <w:pPr>
        <w:autoSpaceDE w:val="0"/>
        <w:autoSpaceDN w:val="0"/>
        <w:adjustRightInd w:val="0"/>
        <w:ind w:firstLine="709"/>
        <w:jc w:val="both"/>
        <w:rPr>
          <w:rStyle w:val="word-wrapper"/>
          <w:color w:val="000000"/>
          <w:sz w:val="30"/>
          <w:szCs w:val="30"/>
          <w:shd w:val="clear" w:color="auto" w:fill="FFFFFF"/>
        </w:rPr>
      </w:pPr>
      <w:r>
        <w:rPr>
          <w:rStyle w:val="word-wrapper"/>
          <w:color w:val="000000"/>
          <w:sz w:val="30"/>
          <w:szCs w:val="30"/>
          <w:shd w:val="clear" w:color="auto" w:fill="FFFFFF"/>
        </w:rPr>
        <w:t>Выпускникам, направленным на работу</w:t>
      </w:r>
      <w:r w:rsidR="00661D6F">
        <w:rPr>
          <w:rStyle w:val="word-wrapper"/>
          <w:color w:val="000000"/>
          <w:sz w:val="30"/>
          <w:szCs w:val="30"/>
          <w:shd w:val="clear" w:color="auto" w:fill="FFFFFF"/>
        </w:rPr>
        <w:t>,</w:t>
      </w:r>
      <w:r>
        <w:rPr>
          <w:rStyle w:val="word-wrapper"/>
          <w:color w:val="000000"/>
          <w:sz w:val="30"/>
          <w:szCs w:val="30"/>
          <w:shd w:val="clear" w:color="auto" w:fill="FFFFFF"/>
        </w:rPr>
        <w:t xml:space="preserve"> переезжающим в другую местность, возмещается </w:t>
      </w:r>
      <w:r w:rsidRPr="00CC2CD3">
        <w:rPr>
          <w:rStyle w:val="word-wrapper"/>
          <w:color w:val="000000"/>
          <w:sz w:val="30"/>
          <w:szCs w:val="30"/>
          <w:shd w:val="clear" w:color="auto" w:fill="FFFFFF"/>
        </w:rPr>
        <w:t>единовременное пособие в размере месячной тарифной ставки (тарифного оклада), оклада, должностног</w:t>
      </w:r>
      <w:r>
        <w:rPr>
          <w:rStyle w:val="word-wrapper"/>
          <w:color w:val="000000"/>
          <w:sz w:val="30"/>
          <w:szCs w:val="30"/>
          <w:shd w:val="clear" w:color="auto" w:fill="FFFFFF"/>
        </w:rPr>
        <w:t>о оклада по новому месту работы</w:t>
      </w:r>
      <w:r>
        <w:rPr>
          <w:rStyle w:val="a6"/>
          <w:color w:val="000000"/>
          <w:sz w:val="30"/>
          <w:szCs w:val="30"/>
          <w:shd w:val="clear" w:color="auto" w:fill="FFFFFF"/>
        </w:rPr>
        <w:footnoteReference w:id="4"/>
      </w:r>
      <w:r>
        <w:rPr>
          <w:rStyle w:val="word-wrapper"/>
          <w:color w:val="000000"/>
          <w:sz w:val="30"/>
          <w:szCs w:val="30"/>
          <w:shd w:val="clear" w:color="auto" w:fill="FFFFFF"/>
        </w:rPr>
        <w:t>.</w:t>
      </w:r>
    </w:p>
    <w:p w:rsidR="00643EBE" w:rsidRDefault="00643EBE" w:rsidP="00643EBE">
      <w:pPr>
        <w:autoSpaceDE w:val="0"/>
        <w:autoSpaceDN w:val="0"/>
        <w:adjustRightInd w:val="0"/>
        <w:ind w:firstLine="708"/>
        <w:jc w:val="both"/>
        <w:rPr>
          <w:sz w:val="30"/>
          <w:szCs w:val="30"/>
        </w:rPr>
      </w:pPr>
      <w:r>
        <w:rPr>
          <w:sz w:val="30"/>
          <w:szCs w:val="30"/>
        </w:rPr>
        <w:t>Учитывая изложенное, с</w:t>
      </w:r>
      <w:r w:rsidRPr="00122FC7">
        <w:rPr>
          <w:sz w:val="30"/>
          <w:szCs w:val="30"/>
        </w:rPr>
        <w:t>умма единовременного пособия в размере месячной тарифной ставки (тарифного оклада) выпускникам, направленным на работу, переезжающим в другую местность, не является объектом для начисления взносов в бюджет фонда</w:t>
      </w:r>
      <w:r>
        <w:rPr>
          <w:sz w:val="30"/>
          <w:szCs w:val="30"/>
        </w:rPr>
        <w:t>.</w:t>
      </w:r>
    </w:p>
    <w:p w:rsidR="00643EBE" w:rsidRPr="00820F35" w:rsidRDefault="00643EBE" w:rsidP="00643EBE">
      <w:pPr>
        <w:ind w:right="316" w:firstLine="708"/>
        <w:jc w:val="both"/>
      </w:pPr>
    </w:p>
    <w:p w:rsidR="0036777A" w:rsidRDefault="0036777A">
      <w:pPr>
        <w:jc w:val="both"/>
      </w:pPr>
    </w:p>
    <w:sectPr w:rsidR="0036777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5A" w:rsidRDefault="0043095A">
      <w:r>
        <w:separator/>
      </w:r>
    </w:p>
  </w:endnote>
  <w:endnote w:type="continuationSeparator" w:id="0">
    <w:p w:rsidR="0043095A" w:rsidRDefault="0043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5A" w:rsidRDefault="0043095A">
      <w:r>
        <w:separator/>
      </w:r>
    </w:p>
  </w:footnote>
  <w:footnote w:type="continuationSeparator" w:id="0">
    <w:p w:rsidR="0043095A" w:rsidRDefault="0043095A">
      <w:r>
        <w:continuationSeparator/>
      </w:r>
    </w:p>
  </w:footnote>
  <w:footnote w:id="1">
    <w:p w:rsidR="00643EBE" w:rsidRPr="00A146F6" w:rsidRDefault="00643EBE" w:rsidP="00661D6F">
      <w:pPr>
        <w:pStyle w:val="a7"/>
        <w:jc w:val="both"/>
        <w:rPr>
          <w:sz w:val="18"/>
          <w:szCs w:val="18"/>
        </w:rPr>
      </w:pPr>
      <w:r w:rsidRPr="00B21579">
        <w:rPr>
          <w:rStyle w:val="a6"/>
          <w:sz w:val="18"/>
          <w:szCs w:val="18"/>
        </w:rPr>
        <w:footnoteRef/>
      </w:r>
      <w:r w:rsidR="00661D6F">
        <w:rPr>
          <w:sz w:val="18"/>
          <w:szCs w:val="18"/>
        </w:rPr>
        <w:t> </w:t>
      </w:r>
      <w:r w:rsidRPr="00A146F6">
        <w:rPr>
          <w:sz w:val="18"/>
          <w:szCs w:val="18"/>
        </w:rPr>
        <w:t>Статья 4 Закона Республики Беларусь от 15.07.2021 № 118-З «О взносах в бюджет государственного внебюджетного фонда социальной защиты населения Республики Беларусь»</w:t>
      </w:r>
    </w:p>
  </w:footnote>
  <w:footnote w:id="2">
    <w:p w:rsidR="00643EBE" w:rsidRPr="00A146F6" w:rsidRDefault="00643EBE" w:rsidP="00661D6F">
      <w:pPr>
        <w:pStyle w:val="a7"/>
        <w:jc w:val="both"/>
        <w:rPr>
          <w:sz w:val="18"/>
          <w:szCs w:val="18"/>
        </w:rPr>
      </w:pPr>
      <w:r w:rsidRPr="00A146F6">
        <w:rPr>
          <w:rStyle w:val="a6"/>
          <w:sz w:val="18"/>
          <w:szCs w:val="18"/>
        </w:rPr>
        <w:footnoteRef/>
      </w:r>
      <w:r w:rsidRPr="00A146F6">
        <w:rPr>
          <w:sz w:val="18"/>
          <w:szCs w:val="18"/>
          <w:lang w:val="en-US"/>
        </w:rPr>
        <w:t> </w:t>
      </w:r>
      <w:r w:rsidRPr="00A146F6">
        <w:rPr>
          <w:sz w:val="18"/>
          <w:szCs w:val="18"/>
        </w:rPr>
        <w:t>Перечень выплат, на которые не начисляются взносы на государственное социальное страхование, в том числе на профессиональное пенсионное страхование,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A146F6">
        <w:rPr>
          <w:sz w:val="18"/>
          <w:szCs w:val="18"/>
        </w:rPr>
        <w:t>Белгосстрах</w:t>
      </w:r>
      <w:proofErr w:type="spellEnd"/>
      <w:r w:rsidRPr="00A146F6">
        <w:rPr>
          <w:sz w:val="18"/>
          <w:szCs w:val="18"/>
        </w:rPr>
        <w:t xml:space="preserve">», установлен постановлением Совета Министров Республики Беларусь от 25.01.1999 № 115 (ред. от 28.12.2021) (далее – Перечень № 115) </w:t>
      </w:r>
    </w:p>
  </w:footnote>
  <w:footnote w:id="3">
    <w:p w:rsidR="00643EBE" w:rsidRPr="00A146F6" w:rsidRDefault="00643EBE" w:rsidP="00661D6F">
      <w:pPr>
        <w:pStyle w:val="a7"/>
        <w:jc w:val="both"/>
        <w:rPr>
          <w:sz w:val="18"/>
          <w:szCs w:val="18"/>
        </w:rPr>
      </w:pPr>
      <w:r w:rsidRPr="00A146F6">
        <w:rPr>
          <w:rStyle w:val="a6"/>
          <w:sz w:val="18"/>
          <w:szCs w:val="18"/>
        </w:rPr>
        <w:footnoteRef/>
      </w:r>
      <w:r>
        <w:rPr>
          <w:sz w:val="18"/>
          <w:szCs w:val="18"/>
        </w:rPr>
        <w:t> </w:t>
      </w:r>
      <w:r w:rsidRPr="00A146F6">
        <w:rPr>
          <w:sz w:val="18"/>
          <w:szCs w:val="18"/>
        </w:rPr>
        <w:t>Пункт 8 перечня № 115</w:t>
      </w:r>
    </w:p>
  </w:footnote>
  <w:footnote w:id="4">
    <w:p w:rsidR="00643EBE" w:rsidRDefault="00643EBE" w:rsidP="00661D6F">
      <w:pPr>
        <w:pStyle w:val="a7"/>
        <w:jc w:val="both"/>
      </w:pPr>
      <w:r w:rsidRPr="00A146F6">
        <w:rPr>
          <w:rStyle w:val="a6"/>
          <w:sz w:val="18"/>
          <w:szCs w:val="18"/>
        </w:rPr>
        <w:footnoteRef/>
      </w:r>
      <w:r w:rsidR="00661D6F">
        <w:rPr>
          <w:sz w:val="18"/>
          <w:szCs w:val="18"/>
        </w:rPr>
        <w:t xml:space="preserve"> Пункт 4 части 1 статьи </w:t>
      </w:r>
      <w:r w:rsidRPr="00A146F6">
        <w:rPr>
          <w:sz w:val="18"/>
          <w:szCs w:val="18"/>
        </w:rPr>
        <w:t>96 Трудового кодекса Республики Беларусь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7A" w:rsidRDefault="00EE7FB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777A" w:rsidRDefault="003677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7A" w:rsidRDefault="00EE7FB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43EBE">
      <w:rPr>
        <w:rStyle w:val="a4"/>
        <w:noProof/>
      </w:rPr>
      <w:t>2</w:t>
    </w:r>
    <w:r>
      <w:rPr>
        <w:rStyle w:val="a4"/>
      </w:rPr>
      <w:fldChar w:fldCharType="end"/>
    </w:r>
  </w:p>
  <w:p w:rsidR="0036777A" w:rsidRDefault="003677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BE"/>
    <w:rsid w:val="0036777A"/>
    <w:rsid w:val="0043095A"/>
    <w:rsid w:val="00643EBE"/>
    <w:rsid w:val="00661D6F"/>
    <w:rsid w:val="00EE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ind w:firstLine="709"/>
    </w:pPr>
    <w:rPr>
      <w:sz w:val="30"/>
    </w:rPr>
  </w:style>
  <w:style w:type="character" w:styleId="a4">
    <w:name w:val="page number"/>
    <w:basedOn w:val="a0"/>
    <w:semiHidden/>
  </w:style>
  <w:style w:type="paragraph" w:styleId="a5">
    <w:name w:val="Normal (Web)"/>
    <w:basedOn w:val="a"/>
    <w:uiPriority w:val="99"/>
    <w:unhideWhenUsed/>
    <w:rsid w:val="00643EBE"/>
    <w:pPr>
      <w:spacing w:before="100" w:beforeAutospacing="1" w:after="100" w:afterAutospacing="1"/>
    </w:pPr>
    <w:rPr>
      <w:rFonts w:eastAsia="Calibri"/>
    </w:rPr>
  </w:style>
  <w:style w:type="character" w:styleId="a6">
    <w:name w:val="footnote reference"/>
    <w:rsid w:val="00643EBE"/>
    <w:rPr>
      <w:vertAlign w:val="superscript"/>
    </w:rPr>
  </w:style>
  <w:style w:type="paragraph" w:styleId="a7">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8"/>
    <w:rsid w:val="00643EBE"/>
    <w:rPr>
      <w:sz w:val="20"/>
      <w:szCs w:val="20"/>
    </w:rPr>
  </w:style>
  <w:style w:type="character" w:customStyle="1" w:styleId="a8">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7"/>
    <w:rsid w:val="00643EBE"/>
  </w:style>
  <w:style w:type="character" w:customStyle="1" w:styleId="word-wrapper">
    <w:name w:val="word-wrapper"/>
    <w:rsid w:val="0064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ind w:firstLine="709"/>
    </w:pPr>
    <w:rPr>
      <w:sz w:val="30"/>
    </w:rPr>
  </w:style>
  <w:style w:type="character" w:styleId="a4">
    <w:name w:val="page number"/>
    <w:basedOn w:val="a0"/>
    <w:semiHidden/>
  </w:style>
  <w:style w:type="paragraph" w:styleId="a5">
    <w:name w:val="Normal (Web)"/>
    <w:basedOn w:val="a"/>
    <w:uiPriority w:val="99"/>
    <w:unhideWhenUsed/>
    <w:rsid w:val="00643EBE"/>
    <w:pPr>
      <w:spacing w:before="100" w:beforeAutospacing="1" w:after="100" w:afterAutospacing="1"/>
    </w:pPr>
    <w:rPr>
      <w:rFonts w:eastAsia="Calibri"/>
    </w:rPr>
  </w:style>
  <w:style w:type="character" w:styleId="a6">
    <w:name w:val="footnote reference"/>
    <w:rsid w:val="00643EBE"/>
    <w:rPr>
      <w:vertAlign w:val="superscript"/>
    </w:rPr>
  </w:style>
  <w:style w:type="paragraph" w:styleId="a7">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8"/>
    <w:rsid w:val="00643EBE"/>
    <w:rPr>
      <w:sz w:val="20"/>
      <w:szCs w:val="20"/>
    </w:rPr>
  </w:style>
  <w:style w:type="character" w:customStyle="1" w:styleId="a8">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7"/>
    <w:rsid w:val="00643EBE"/>
  </w:style>
  <w:style w:type="character" w:customStyle="1" w:styleId="word-wrapper">
    <w:name w:val="word-wrapper"/>
    <w:rsid w:val="0064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Виктория Валерьевна</dc:creator>
  <cp:lastModifiedBy>Мальцева Виктория Валерьевна</cp:lastModifiedBy>
  <cp:revision>1</cp:revision>
  <dcterms:created xsi:type="dcterms:W3CDTF">2022-06-03T06:54:00Z</dcterms:created>
  <dcterms:modified xsi:type="dcterms:W3CDTF">2022-06-03T07:00:00Z</dcterms:modified>
</cp:coreProperties>
</file>